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Pr="00090E5D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E80573" w:rsidRDefault="00E80573" w:rsidP="00E80573">
      <w:pPr>
        <w:tabs>
          <w:tab w:val="left" w:pos="1935"/>
        </w:tabs>
        <w:spacing w:line="360" w:lineRule="auto"/>
      </w:pPr>
    </w:p>
    <w:p w:rsidR="00766F89" w:rsidRDefault="00766F89" w:rsidP="00766F89">
      <w:pPr>
        <w:tabs>
          <w:tab w:val="left" w:pos="193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BMVD-065: 75 </w:t>
      </w:r>
      <w:r w:rsidRPr="000502BF">
        <w:rPr>
          <w:rFonts w:ascii="Times New Roman" w:hAnsi="Times New Roman"/>
          <w:b/>
          <w:sz w:val="24"/>
          <w:szCs w:val="24"/>
        </w:rPr>
        <w:t>Szövegalkotás</w:t>
      </w:r>
      <w:r>
        <w:rPr>
          <w:rFonts w:ascii="Times New Roman" w:hAnsi="Times New Roman"/>
          <w:b/>
          <w:sz w:val="24"/>
          <w:szCs w:val="24"/>
        </w:rPr>
        <w:t xml:space="preserve"> (B2/C1)</w:t>
      </w:r>
    </w:p>
    <w:p w:rsidR="00766F89" w:rsidRDefault="00766F89" w:rsidP="00766F8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kurzus célja az íráskészség és a szövegalkotói kompetencia fejlesztése, amelyet fokozatosan, egymásra épülő feladatok segítségével valósítunk meg. A diákok megfelelő módszertani útmutatás alapján különböző típusú szövegeket, szövegrészeket hoznak létre, és különböző műveleteket (kiegészítés, átalakítás stb.) végeznek a szövegekkel. Az órákon figyelmet fordítunk a szövegkapcsoló elemek gyakorlására is. Nagy hangsúlyt helyezünk arra, hogy a diákok – a kreativitást igénylő szövegek mellett - a mindennapi életben számukra is hasznosítható műfajokban (pl. e-mail, kérvény, motivációs </w:t>
      </w:r>
      <w:proofErr w:type="gramStart"/>
      <w:r>
        <w:rPr>
          <w:rFonts w:ascii="Times New Roman" w:hAnsi="Times New Roman"/>
          <w:sz w:val="24"/>
          <w:szCs w:val="24"/>
        </w:rPr>
        <w:t>levél )</w:t>
      </w:r>
      <w:proofErr w:type="gramEnd"/>
      <w:r>
        <w:rPr>
          <w:rFonts w:ascii="Times New Roman" w:hAnsi="Times New Roman"/>
          <w:sz w:val="24"/>
          <w:szCs w:val="24"/>
        </w:rPr>
        <w:t xml:space="preserve"> is jártasságot szerezzenek. </w:t>
      </w:r>
    </w:p>
    <w:p w:rsidR="00766F89" w:rsidRDefault="00766F89" w:rsidP="00E80573">
      <w:pPr>
        <w:tabs>
          <w:tab w:val="left" w:pos="1935"/>
        </w:tabs>
        <w:spacing w:line="360" w:lineRule="auto"/>
        <w:rPr>
          <w:b/>
          <w:sz w:val="24"/>
          <w:szCs w:val="24"/>
        </w:rPr>
      </w:pPr>
    </w:p>
    <w:p w:rsidR="00766F89" w:rsidRDefault="00766F89" w:rsidP="00E80573">
      <w:pPr>
        <w:tabs>
          <w:tab w:val="left" w:pos="1935"/>
        </w:tabs>
        <w:spacing w:line="360" w:lineRule="auto"/>
        <w:rPr>
          <w:b/>
          <w:sz w:val="24"/>
          <w:szCs w:val="24"/>
        </w:rPr>
      </w:pPr>
    </w:p>
    <w:p w:rsidR="00E80573" w:rsidRDefault="00E80573" w:rsidP="00E80573">
      <w:pPr>
        <w:tabs>
          <w:tab w:val="left" w:pos="1935"/>
        </w:tabs>
        <w:spacing w:line="360" w:lineRule="auto"/>
      </w:pPr>
      <w:bookmarkStart w:id="0" w:name="_GoBack"/>
      <w:bookmarkEnd w:id="0"/>
      <w:r>
        <w:rPr>
          <w:b/>
          <w:sz w:val="24"/>
          <w:szCs w:val="24"/>
        </w:rPr>
        <w:t xml:space="preserve">BMVD-065:75 </w:t>
      </w:r>
      <w:proofErr w:type="spellStart"/>
      <w:r>
        <w:rPr>
          <w:b/>
          <w:sz w:val="24"/>
          <w:szCs w:val="24"/>
        </w:rPr>
        <w:t>Writing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skills</w:t>
      </w:r>
      <w:proofErr w:type="spellEnd"/>
      <w:r w:rsidR="00766F89">
        <w:rPr>
          <w:b/>
          <w:sz w:val="24"/>
          <w:szCs w:val="24"/>
        </w:rPr>
        <w:t xml:space="preserve"> (B2/C1)</w:t>
      </w:r>
    </w:p>
    <w:p w:rsidR="00E80573" w:rsidRDefault="00E80573" w:rsidP="00E80573">
      <w:pPr>
        <w:spacing w:line="480" w:lineRule="auto"/>
        <w:ind w:firstLine="708"/>
        <w:jc w:val="both"/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aim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discourse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achieved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sequential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appropriate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guidelines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texts</w:t>
      </w:r>
      <w:proofErr w:type="spellEnd"/>
      <w:r>
        <w:rPr>
          <w:sz w:val="24"/>
          <w:szCs w:val="24"/>
        </w:rPr>
        <w:t xml:space="preserve"> and text </w:t>
      </w:r>
      <w:proofErr w:type="spellStart"/>
      <w:r>
        <w:rPr>
          <w:sz w:val="24"/>
          <w:szCs w:val="24"/>
        </w:rPr>
        <w:t>elements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perform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completion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transformation</w:t>
      </w:r>
      <w:proofErr w:type="spellEnd"/>
      <w:r>
        <w:rPr>
          <w:sz w:val="24"/>
          <w:szCs w:val="24"/>
        </w:rPr>
        <w:t xml:space="preserve">, etc.)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Classes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devoted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practicing</w:t>
      </w:r>
      <w:proofErr w:type="spellEnd"/>
      <w:r>
        <w:rPr>
          <w:sz w:val="24"/>
          <w:szCs w:val="24"/>
        </w:rPr>
        <w:t xml:space="preserve"> linking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phrases</w:t>
      </w:r>
      <w:proofErr w:type="spellEnd"/>
      <w:r>
        <w:rPr>
          <w:sz w:val="24"/>
          <w:szCs w:val="24"/>
        </w:rPr>
        <w:t xml:space="preserve">. Great </w:t>
      </w:r>
      <w:proofErr w:type="spellStart"/>
      <w:r>
        <w:rPr>
          <w:sz w:val="24"/>
          <w:szCs w:val="24"/>
        </w:rPr>
        <w:t>emphasis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placed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competence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e-mails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applications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motivational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letters</w:t>
      </w:r>
      <w:proofErr w:type="spellEnd"/>
      <w:r>
        <w:rPr>
          <w:sz w:val="24"/>
          <w:szCs w:val="24"/>
        </w:rPr>
        <w:t>.</w:t>
      </w:r>
    </w:p>
    <w:p w:rsidR="00E80573" w:rsidRPr="00FA12D6" w:rsidRDefault="00E80573" w:rsidP="00737C0C">
      <w:pPr>
        <w:pStyle w:val="Nincstrkz"/>
        <w:rPr>
          <w:rFonts w:ascii="Garamond" w:hAnsi="Garamond"/>
        </w:rPr>
      </w:pPr>
    </w:p>
    <w:sectPr w:rsidR="00E80573" w:rsidRPr="00FA12D6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16" w:rsidRDefault="00EE7016" w:rsidP="00E670DA">
      <w:pPr>
        <w:spacing w:after="0" w:line="240" w:lineRule="auto"/>
      </w:pPr>
      <w:r>
        <w:separator/>
      </w:r>
    </w:p>
  </w:endnote>
  <w:endnote w:type="continuationSeparator" w:id="0">
    <w:p w:rsidR="00EE7016" w:rsidRDefault="00EE7016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16" w:rsidRDefault="00EE7016" w:rsidP="00E670DA">
      <w:pPr>
        <w:spacing w:after="0" w:line="240" w:lineRule="auto"/>
      </w:pPr>
      <w:r>
        <w:separator/>
      </w:r>
    </w:p>
  </w:footnote>
  <w:footnote w:type="continuationSeparator" w:id="0">
    <w:p w:rsidR="00EE7016" w:rsidRDefault="00EE7016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23E9F1E8" wp14:editId="60F20A00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50AE9"/>
    <w:rsid w:val="00090E5D"/>
    <w:rsid w:val="000E5CBF"/>
    <w:rsid w:val="001322B4"/>
    <w:rsid w:val="0015554B"/>
    <w:rsid w:val="001F7F42"/>
    <w:rsid w:val="002B0014"/>
    <w:rsid w:val="002B12D7"/>
    <w:rsid w:val="002E2BE5"/>
    <w:rsid w:val="003400C0"/>
    <w:rsid w:val="003725D3"/>
    <w:rsid w:val="004303F3"/>
    <w:rsid w:val="00483F59"/>
    <w:rsid w:val="004B3447"/>
    <w:rsid w:val="00614146"/>
    <w:rsid w:val="00645DF4"/>
    <w:rsid w:val="006A7D43"/>
    <w:rsid w:val="00737C0C"/>
    <w:rsid w:val="00766F89"/>
    <w:rsid w:val="00786594"/>
    <w:rsid w:val="007C7D62"/>
    <w:rsid w:val="008018AC"/>
    <w:rsid w:val="00840110"/>
    <w:rsid w:val="00884F02"/>
    <w:rsid w:val="008941EB"/>
    <w:rsid w:val="008D0B67"/>
    <w:rsid w:val="00A70124"/>
    <w:rsid w:val="00A76E7E"/>
    <w:rsid w:val="00AD3AFB"/>
    <w:rsid w:val="00DB4CEA"/>
    <w:rsid w:val="00E670DA"/>
    <w:rsid w:val="00E80573"/>
    <w:rsid w:val="00EA4E5E"/>
    <w:rsid w:val="00EE7016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2</cp:revision>
  <dcterms:created xsi:type="dcterms:W3CDTF">2019-11-03T18:00:00Z</dcterms:created>
  <dcterms:modified xsi:type="dcterms:W3CDTF">2019-11-03T18:00:00Z</dcterms:modified>
</cp:coreProperties>
</file>